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311FFF" w:rsidRDefault="0040099C" w:rsidP="0040099C">
      <w:pPr>
        <w:jc w:val="center"/>
        <w:rPr>
          <w:rStyle w:val="Strong"/>
        </w:rPr>
      </w:pPr>
      <w:r w:rsidRPr="00311FFF">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986A72" w:rsidRDefault="00986A72" w:rsidP="0040099C">
      <w:pPr>
        <w:jc w:val="center"/>
        <w:rPr>
          <w:sz w:val="40"/>
          <w:szCs w:val="40"/>
        </w:rPr>
      </w:pPr>
      <w:r>
        <w:rPr>
          <w:sz w:val="40"/>
          <w:szCs w:val="40"/>
        </w:rPr>
        <w:t xml:space="preserve">Southery </w:t>
      </w:r>
      <w:r w:rsidR="0037638B">
        <w:rPr>
          <w:sz w:val="40"/>
          <w:szCs w:val="40"/>
        </w:rPr>
        <w:t>Parish</w:t>
      </w:r>
      <w:r>
        <w:rPr>
          <w:sz w:val="40"/>
          <w:szCs w:val="40"/>
        </w:rPr>
        <w:t xml:space="preserve"> Council Burial ground table of fees.</w:t>
      </w:r>
    </w:p>
    <w:p w:rsidR="00311FFF" w:rsidRDefault="00986A72" w:rsidP="00986A72">
      <w:pPr>
        <w:jc w:val="both"/>
        <w:rPr>
          <w:sz w:val="28"/>
          <w:szCs w:val="28"/>
        </w:rPr>
      </w:pPr>
      <w:r w:rsidRPr="00986A72">
        <w:rPr>
          <w:sz w:val="28"/>
          <w:szCs w:val="28"/>
        </w:rPr>
        <w:t>The fees, payments and sums set out below apply where the person to be interred or in respect of whom the right</w:t>
      </w:r>
      <w:r>
        <w:rPr>
          <w:sz w:val="28"/>
          <w:szCs w:val="28"/>
        </w:rPr>
        <w:t xml:space="preserve"> is granted is, </w:t>
      </w:r>
      <w:r w:rsidRPr="00986A72">
        <w:rPr>
          <w:sz w:val="28"/>
          <w:szCs w:val="28"/>
        </w:rPr>
        <w:t>or immediately before his/her death was an inhabitant or parishioner of the parish of Southery or in the case of a still-born child where the parents (or one of them) are or at the time of interment were such inhabitants or parishioners. In all other cases the fees, payments and sums will be double</w:t>
      </w:r>
      <w:r w:rsidR="00DD6389">
        <w:rPr>
          <w:sz w:val="28"/>
          <w:szCs w:val="28"/>
        </w:rPr>
        <w:t>d.</w:t>
      </w:r>
    </w:p>
    <w:p w:rsidR="00311FFF" w:rsidRDefault="00311FFF" w:rsidP="00986A72">
      <w:pPr>
        <w:jc w:val="both"/>
        <w:rPr>
          <w:sz w:val="24"/>
          <w:szCs w:val="24"/>
        </w:rPr>
      </w:pPr>
    </w:p>
    <w:p w:rsidR="00311FFF" w:rsidRPr="0075496D" w:rsidRDefault="00311FFF" w:rsidP="00986A72">
      <w:pPr>
        <w:jc w:val="both"/>
        <w:rPr>
          <w:b/>
          <w:sz w:val="28"/>
          <w:szCs w:val="28"/>
          <w:u w:val="single"/>
        </w:rPr>
      </w:pPr>
      <w:r w:rsidRPr="0075496D">
        <w:rPr>
          <w:b/>
          <w:sz w:val="28"/>
          <w:szCs w:val="28"/>
          <w:u w:val="single"/>
        </w:rPr>
        <w:t>EXCLUSIVE RIGHTS OF BURIAL IN EARTHEN GRAVES</w:t>
      </w:r>
    </w:p>
    <w:p w:rsidR="00B00D16" w:rsidRDefault="00DD6389" w:rsidP="00986A72">
      <w:pPr>
        <w:jc w:val="both"/>
        <w:rPr>
          <w:sz w:val="24"/>
          <w:szCs w:val="24"/>
        </w:rPr>
      </w:pPr>
      <w:bookmarkStart w:id="0" w:name="_GoBack"/>
      <w:bookmarkEnd w:id="0"/>
      <w:r>
        <w:rPr>
          <w:sz w:val="24"/>
          <w:szCs w:val="24"/>
        </w:rPr>
        <w:t>E</w:t>
      </w:r>
      <w:r w:rsidR="00B00D16">
        <w:rPr>
          <w:sz w:val="24"/>
          <w:szCs w:val="24"/>
        </w:rPr>
        <w:t>arthen grave</w:t>
      </w:r>
      <w:r w:rsidR="00EF0AB8">
        <w:rPr>
          <w:sz w:val="24"/>
          <w:szCs w:val="24"/>
        </w:rPr>
        <w:t xml:space="preserve"> (18 years and over only)</w:t>
      </w:r>
      <w:r w:rsidR="00B00D16">
        <w:rPr>
          <w:sz w:val="24"/>
          <w:szCs w:val="24"/>
        </w:rPr>
        <w:tab/>
      </w:r>
      <w:r w:rsidR="00B00D16">
        <w:rPr>
          <w:sz w:val="24"/>
          <w:szCs w:val="24"/>
        </w:rPr>
        <w:tab/>
      </w:r>
      <w:r w:rsidR="00B00D16">
        <w:rPr>
          <w:sz w:val="24"/>
          <w:szCs w:val="24"/>
        </w:rPr>
        <w:tab/>
      </w:r>
      <w:r w:rsidR="00B00D16">
        <w:rPr>
          <w:sz w:val="24"/>
          <w:szCs w:val="24"/>
        </w:rPr>
        <w:tab/>
      </w:r>
      <w:r w:rsidR="00EF0AB8">
        <w:rPr>
          <w:sz w:val="24"/>
          <w:szCs w:val="24"/>
        </w:rPr>
        <w:tab/>
      </w:r>
      <w:r w:rsidR="00B00D16">
        <w:rPr>
          <w:sz w:val="24"/>
          <w:szCs w:val="24"/>
        </w:rPr>
        <w:t>£</w:t>
      </w:r>
      <w:r w:rsidR="0075496D">
        <w:rPr>
          <w:sz w:val="24"/>
          <w:szCs w:val="24"/>
        </w:rPr>
        <w:t>300.00</w:t>
      </w:r>
    </w:p>
    <w:p w:rsidR="0075496D" w:rsidRDefault="0075496D" w:rsidP="00986A72">
      <w:pPr>
        <w:jc w:val="both"/>
        <w:rPr>
          <w:sz w:val="24"/>
          <w:szCs w:val="24"/>
        </w:rPr>
      </w:pPr>
      <w:r>
        <w:rPr>
          <w:sz w:val="24"/>
          <w:szCs w:val="24"/>
        </w:rPr>
        <w:t xml:space="preserve">(This fee includes the interment of </w:t>
      </w:r>
      <w:r w:rsidR="00DD6389">
        <w:rPr>
          <w:sz w:val="24"/>
          <w:szCs w:val="24"/>
        </w:rPr>
        <w:t>one</w:t>
      </w:r>
      <w:r>
        <w:rPr>
          <w:sz w:val="24"/>
          <w:szCs w:val="24"/>
        </w:rPr>
        <w:t xml:space="preserve"> person)</w:t>
      </w:r>
    </w:p>
    <w:p w:rsidR="0075496D" w:rsidRDefault="0075496D" w:rsidP="0075496D">
      <w:pPr>
        <w:jc w:val="both"/>
        <w:rPr>
          <w:b/>
          <w:sz w:val="28"/>
          <w:szCs w:val="28"/>
          <w:u w:val="single"/>
        </w:rPr>
      </w:pPr>
    </w:p>
    <w:p w:rsidR="0075496D" w:rsidRPr="0075496D" w:rsidRDefault="0075496D" w:rsidP="0075496D">
      <w:pPr>
        <w:jc w:val="both"/>
        <w:rPr>
          <w:b/>
          <w:sz w:val="28"/>
          <w:szCs w:val="28"/>
          <w:u w:val="single"/>
        </w:rPr>
      </w:pPr>
      <w:r w:rsidRPr="0075496D">
        <w:rPr>
          <w:b/>
          <w:sz w:val="28"/>
          <w:szCs w:val="28"/>
          <w:u w:val="single"/>
        </w:rPr>
        <w:t>INTERMENT in Earthen grave</w:t>
      </w:r>
      <w:r w:rsidR="006566E4">
        <w:rPr>
          <w:b/>
          <w:sz w:val="28"/>
          <w:szCs w:val="28"/>
          <w:u w:val="single"/>
        </w:rPr>
        <w:t xml:space="preserve"> (second burial in same plot)</w:t>
      </w:r>
    </w:p>
    <w:p w:rsidR="0075496D" w:rsidRPr="0075496D" w:rsidRDefault="0075496D" w:rsidP="0075496D">
      <w:pPr>
        <w:jc w:val="both"/>
        <w:rPr>
          <w:sz w:val="24"/>
          <w:szCs w:val="24"/>
        </w:rPr>
      </w:pPr>
      <w:r w:rsidRPr="0075496D">
        <w:rPr>
          <w:sz w:val="24"/>
          <w:szCs w:val="24"/>
        </w:rPr>
        <w:t>Where exclusive rights of burial have already been granted</w:t>
      </w:r>
    </w:p>
    <w:p w:rsidR="0075496D" w:rsidRPr="0075496D" w:rsidRDefault="0075496D" w:rsidP="0075496D">
      <w:pPr>
        <w:jc w:val="both"/>
        <w:rPr>
          <w:sz w:val="24"/>
          <w:szCs w:val="24"/>
        </w:rPr>
      </w:pPr>
      <w:r w:rsidRPr="0075496D">
        <w:rPr>
          <w:sz w:val="24"/>
          <w:szCs w:val="24"/>
        </w:rPr>
        <w:t xml:space="preserve">1.  A person whose age </w:t>
      </w:r>
      <w:r w:rsidR="00EF0AB8">
        <w:rPr>
          <w:sz w:val="24"/>
          <w:szCs w:val="24"/>
        </w:rPr>
        <w:t>at the time of death exceeded 18</w:t>
      </w:r>
      <w:r w:rsidRPr="0075496D">
        <w:rPr>
          <w:sz w:val="24"/>
          <w:szCs w:val="24"/>
        </w:rPr>
        <w:t xml:space="preserve"> years </w:t>
      </w:r>
      <w:r w:rsidRPr="0075496D">
        <w:rPr>
          <w:sz w:val="24"/>
          <w:szCs w:val="24"/>
        </w:rPr>
        <w:tab/>
        <w:t>£80.00</w:t>
      </w:r>
    </w:p>
    <w:p w:rsidR="00B00D16" w:rsidRDefault="0075496D" w:rsidP="0075496D">
      <w:pPr>
        <w:jc w:val="both"/>
        <w:rPr>
          <w:sz w:val="24"/>
          <w:szCs w:val="24"/>
        </w:rPr>
      </w:pPr>
      <w:r w:rsidRPr="0075496D">
        <w:rPr>
          <w:sz w:val="24"/>
          <w:szCs w:val="24"/>
        </w:rPr>
        <w:t>2. A person whose age at the time of death was 1</w:t>
      </w:r>
      <w:r w:rsidR="00EF0AB8">
        <w:rPr>
          <w:sz w:val="24"/>
          <w:szCs w:val="24"/>
        </w:rPr>
        <w:t>8</w:t>
      </w:r>
      <w:r w:rsidRPr="0075496D">
        <w:rPr>
          <w:sz w:val="24"/>
          <w:szCs w:val="24"/>
        </w:rPr>
        <w:t xml:space="preserve"> years and under </w:t>
      </w:r>
      <w:r w:rsidRPr="0075496D">
        <w:rPr>
          <w:sz w:val="24"/>
          <w:szCs w:val="24"/>
        </w:rPr>
        <w:tab/>
        <w:t>No charge</w:t>
      </w:r>
    </w:p>
    <w:p w:rsidR="002975EF" w:rsidRDefault="002975EF" w:rsidP="0075496D">
      <w:pPr>
        <w:jc w:val="both"/>
        <w:rPr>
          <w:b/>
          <w:sz w:val="28"/>
          <w:szCs w:val="28"/>
        </w:rPr>
      </w:pPr>
    </w:p>
    <w:p w:rsidR="0075496D" w:rsidRPr="00763AC6" w:rsidRDefault="00763AC6" w:rsidP="0075496D">
      <w:pPr>
        <w:jc w:val="both"/>
        <w:rPr>
          <w:b/>
          <w:sz w:val="28"/>
          <w:szCs w:val="28"/>
          <w:u w:val="single"/>
        </w:rPr>
      </w:pPr>
      <w:r>
        <w:rPr>
          <w:b/>
          <w:sz w:val="28"/>
          <w:szCs w:val="28"/>
          <w:u w:val="single"/>
        </w:rPr>
        <w:t xml:space="preserve">EXCLUSIVE RIGHTS OF BURIAL OF CREMATED REMAINS - </w:t>
      </w:r>
      <w:r w:rsidR="0075496D" w:rsidRPr="00763AC6">
        <w:rPr>
          <w:b/>
          <w:sz w:val="28"/>
          <w:szCs w:val="28"/>
          <w:u w:val="single"/>
        </w:rPr>
        <w:t>ASHES</w:t>
      </w:r>
    </w:p>
    <w:p w:rsidR="0075496D" w:rsidRDefault="007A2E6D" w:rsidP="0075496D">
      <w:pPr>
        <w:jc w:val="both"/>
        <w:rPr>
          <w:sz w:val="24"/>
          <w:szCs w:val="24"/>
        </w:rPr>
      </w:pPr>
      <w:r>
        <w:rPr>
          <w:sz w:val="24"/>
          <w:szCs w:val="24"/>
        </w:rPr>
        <w:t>E</w:t>
      </w:r>
      <w:r w:rsidR="00DD6389" w:rsidRPr="002975EF">
        <w:rPr>
          <w:sz w:val="24"/>
          <w:szCs w:val="24"/>
        </w:rPr>
        <w:t>arthen grave</w:t>
      </w:r>
      <w:r w:rsidR="00DD6389" w:rsidRPr="00DD6389">
        <w:rPr>
          <w:sz w:val="24"/>
          <w:szCs w:val="24"/>
        </w:rPr>
        <w:t xml:space="preserve">   2ft 4” x 3ft</w:t>
      </w:r>
      <w:r w:rsidR="0075496D">
        <w:rPr>
          <w:sz w:val="24"/>
          <w:szCs w:val="24"/>
        </w:rPr>
        <w:t xml:space="preserve"> (includes interment for first ashes)</w:t>
      </w:r>
      <w:r w:rsidR="0075496D">
        <w:rPr>
          <w:sz w:val="24"/>
          <w:szCs w:val="24"/>
        </w:rPr>
        <w:tab/>
      </w:r>
      <w:r w:rsidR="00DD6389">
        <w:rPr>
          <w:sz w:val="24"/>
          <w:szCs w:val="24"/>
        </w:rPr>
        <w:tab/>
      </w:r>
      <w:r w:rsidR="0075496D" w:rsidRPr="0075496D">
        <w:rPr>
          <w:sz w:val="24"/>
          <w:szCs w:val="24"/>
        </w:rPr>
        <w:t>£150.00</w:t>
      </w:r>
    </w:p>
    <w:p w:rsidR="007A2E6D" w:rsidRPr="007A2E6D" w:rsidRDefault="007A2E6D" w:rsidP="002975EF">
      <w:pPr>
        <w:jc w:val="both"/>
        <w:rPr>
          <w:b/>
          <w:sz w:val="28"/>
          <w:szCs w:val="28"/>
          <w:u w:val="single"/>
        </w:rPr>
      </w:pPr>
      <w:r w:rsidRPr="007A2E6D">
        <w:rPr>
          <w:b/>
          <w:sz w:val="28"/>
          <w:szCs w:val="28"/>
          <w:u w:val="single"/>
        </w:rPr>
        <w:t>INTERMENT OF ASHES</w:t>
      </w:r>
    </w:p>
    <w:p w:rsidR="0075496D" w:rsidRPr="007A2E6D" w:rsidRDefault="0075496D" w:rsidP="002975EF">
      <w:pPr>
        <w:jc w:val="both"/>
        <w:rPr>
          <w:b/>
          <w:sz w:val="24"/>
          <w:szCs w:val="24"/>
          <w:u w:val="single"/>
        </w:rPr>
      </w:pPr>
      <w:r w:rsidRPr="002975EF">
        <w:rPr>
          <w:sz w:val="24"/>
          <w:szCs w:val="24"/>
        </w:rPr>
        <w:t>where exclusive rights have already been granted</w:t>
      </w:r>
      <w:r w:rsidR="007A2E6D">
        <w:rPr>
          <w:sz w:val="24"/>
          <w:szCs w:val="24"/>
        </w:rPr>
        <w:tab/>
      </w:r>
      <w:r w:rsidR="007A2E6D">
        <w:rPr>
          <w:sz w:val="24"/>
          <w:szCs w:val="24"/>
        </w:rPr>
        <w:tab/>
      </w:r>
      <w:r w:rsidR="007A2E6D">
        <w:rPr>
          <w:sz w:val="24"/>
          <w:szCs w:val="24"/>
        </w:rPr>
        <w:tab/>
      </w:r>
      <w:r w:rsidRPr="002975EF">
        <w:rPr>
          <w:sz w:val="24"/>
          <w:szCs w:val="24"/>
        </w:rPr>
        <w:t>£75.00</w:t>
      </w:r>
    </w:p>
    <w:p w:rsidR="0075496D" w:rsidRPr="0075496D" w:rsidRDefault="0075496D" w:rsidP="0075496D">
      <w:pPr>
        <w:jc w:val="both"/>
        <w:rPr>
          <w:b/>
          <w:sz w:val="28"/>
          <w:szCs w:val="28"/>
        </w:rPr>
      </w:pPr>
    </w:p>
    <w:p w:rsidR="00B00D16" w:rsidRPr="00763AC6" w:rsidRDefault="00DD6389" w:rsidP="00986A72">
      <w:pPr>
        <w:jc w:val="both"/>
        <w:rPr>
          <w:b/>
          <w:sz w:val="28"/>
          <w:szCs w:val="28"/>
          <w:u w:val="single"/>
        </w:rPr>
      </w:pPr>
      <w:r w:rsidRPr="00763AC6">
        <w:rPr>
          <w:b/>
          <w:sz w:val="28"/>
          <w:szCs w:val="28"/>
          <w:u w:val="single"/>
        </w:rPr>
        <w:lastRenderedPageBreak/>
        <w:t>HEADSTONES</w:t>
      </w:r>
      <w:r w:rsidR="00B00D16" w:rsidRPr="00763AC6">
        <w:rPr>
          <w:b/>
          <w:sz w:val="28"/>
          <w:szCs w:val="28"/>
          <w:u w:val="single"/>
        </w:rPr>
        <w:t xml:space="preserve"> AND MONUMENTAL INSCRIPTIONS</w:t>
      </w:r>
    </w:p>
    <w:p w:rsidR="00B00D16" w:rsidRDefault="00B00D16" w:rsidP="00986A72">
      <w:pPr>
        <w:jc w:val="both"/>
        <w:rPr>
          <w:sz w:val="24"/>
          <w:szCs w:val="24"/>
        </w:rPr>
      </w:pPr>
      <w:r>
        <w:rPr>
          <w:sz w:val="24"/>
          <w:szCs w:val="24"/>
        </w:rPr>
        <w:t>For the right to erect or place on a grave in respect of which the exclusive right of burial has been granted:-</w:t>
      </w:r>
    </w:p>
    <w:p w:rsidR="00B00D16" w:rsidRDefault="00DD6389" w:rsidP="00986A72">
      <w:pPr>
        <w:jc w:val="both"/>
        <w:rPr>
          <w:sz w:val="24"/>
          <w:szCs w:val="24"/>
        </w:rPr>
      </w:pPr>
      <w:r>
        <w:rPr>
          <w:sz w:val="24"/>
          <w:szCs w:val="24"/>
        </w:rPr>
        <w:t>1</w:t>
      </w:r>
      <w:r w:rsidR="008F4856">
        <w:rPr>
          <w:sz w:val="24"/>
          <w:szCs w:val="24"/>
        </w:rPr>
        <w:t xml:space="preserve">) A headstone </w:t>
      </w:r>
    </w:p>
    <w:p w:rsidR="008F4856" w:rsidRDefault="008F4856" w:rsidP="00DD6389">
      <w:pPr>
        <w:jc w:val="both"/>
        <w:rPr>
          <w:sz w:val="24"/>
          <w:szCs w:val="24"/>
        </w:rPr>
      </w:pPr>
      <w:r>
        <w:rPr>
          <w:sz w:val="24"/>
          <w:szCs w:val="24"/>
        </w:rPr>
        <w:t>Not exceeding 3ft 6” in height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DD6389">
        <w:rPr>
          <w:sz w:val="24"/>
          <w:szCs w:val="24"/>
        </w:rPr>
        <w:t>50.00</w:t>
      </w:r>
    </w:p>
    <w:p w:rsidR="0037638B" w:rsidRDefault="00DD6389" w:rsidP="00A61F76">
      <w:pPr>
        <w:spacing w:after="0"/>
        <w:jc w:val="both"/>
        <w:rPr>
          <w:sz w:val="24"/>
          <w:szCs w:val="24"/>
        </w:rPr>
      </w:pPr>
      <w:r>
        <w:rPr>
          <w:sz w:val="24"/>
          <w:szCs w:val="24"/>
        </w:rPr>
        <w:t xml:space="preserve">Additional inscriptions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£20.00</w:t>
      </w:r>
    </w:p>
    <w:p w:rsidR="00DD6389" w:rsidRDefault="00DD6389" w:rsidP="00A61F76">
      <w:pPr>
        <w:spacing w:after="0"/>
        <w:jc w:val="both"/>
        <w:rPr>
          <w:sz w:val="24"/>
          <w:szCs w:val="24"/>
        </w:rPr>
      </w:pPr>
    </w:p>
    <w:p w:rsidR="00DD6389" w:rsidRDefault="00DD6389" w:rsidP="00A61F76">
      <w:pPr>
        <w:spacing w:after="0"/>
        <w:jc w:val="both"/>
        <w:rPr>
          <w:sz w:val="24"/>
          <w:szCs w:val="24"/>
        </w:rPr>
      </w:pPr>
      <w:r>
        <w:rPr>
          <w:sz w:val="24"/>
          <w:szCs w:val="24"/>
        </w:rPr>
        <w:t>Any other monument by negotiation</w:t>
      </w:r>
    </w:p>
    <w:p w:rsidR="00DD6389" w:rsidRDefault="00DD6389" w:rsidP="00A61F76">
      <w:pPr>
        <w:spacing w:after="0"/>
        <w:jc w:val="both"/>
        <w:rPr>
          <w:sz w:val="24"/>
          <w:szCs w:val="24"/>
        </w:rPr>
      </w:pPr>
    </w:p>
    <w:p w:rsidR="0037638B" w:rsidRPr="00763AC6" w:rsidRDefault="0037638B" w:rsidP="00A61F76">
      <w:pPr>
        <w:spacing w:after="0"/>
        <w:jc w:val="both"/>
        <w:rPr>
          <w:b/>
          <w:sz w:val="28"/>
          <w:szCs w:val="28"/>
          <w:u w:val="single"/>
        </w:rPr>
      </w:pPr>
      <w:r w:rsidRPr="00763AC6">
        <w:rPr>
          <w:b/>
          <w:sz w:val="28"/>
          <w:szCs w:val="28"/>
          <w:u w:val="single"/>
        </w:rPr>
        <w:t>LAWN TYPE TABLETS AND MONUMENTAL INSCRIPTIONS</w:t>
      </w:r>
    </w:p>
    <w:p w:rsidR="0037638B" w:rsidRDefault="0037638B" w:rsidP="00763AC6">
      <w:pPr>
        <w:spacing w:after="0"/>
        <w:jc w:val="center"/>
        <w:rPr>
          <w:sz w:val="24"/>
          <w:szCs w:val="24"/>
        </w:rPr>
      </w:pPr>
    </w:p>
    <w:p w:rsidR="0037638B" w:rsidRDefault="0037638B" w:rsidP="00A61F76">
      <w:pPr>
        <w:spacing w:after="0"/>
        <w:jc w:val="both"/>
        <w:rPr>
          <w:sz w:val="24"/>
          <w:szCs w:val="24"/>
        </w:rPr>
      </w:pPr>
      <w:r>
        <w:rPr>
          <w:sz w:val="24"/>
          <w:szCs w:val="24"/>
        </w:rPr>
        <w:t>For the right to erect or place on a grave in respect of the interment of cremated remains:-</w:t>
      </w:r>
    </w:p>
    <w:p w:rsidR="00DD6389" w:rsidRDefault="00DD6389" w:rsidP="00DD6389">
      <w:pPr>
        <w:spacing w:after="0"/>
        <w:jc w:val="both"/>
        <w:rPr>
          <w:sz w:val="24"/>
          <w:szCs w:val="24"/>
        </w:rPr>
      </w:pPr>
    </w:p>
    <w:p w:rsidR="0037638B" w:rsidRPr="00DD6389" w:rsidRDefault="00DD6389" w:rsidP="00DD6389">
      <w:pPr>
        <w:spacing w:after="0"/>
        <w:jc w:val="both"/>
        <w:rPr>
          <w:sz w:val="24"/>
          <w:szCs w:val="24"/>
        </w:rPr>
      </w:pPr>
      <w:r>
        <w:rPr>
          <w:sz w:val="24"/>
          <w:szCs w:val="24"/>
        </w:rPr>
        <w:t>1</w:t>
      </w:r>
      <w:r w:rsidR="0037638B" w:rsidRPr="00DD6389">
        <w:rPr>
          <w:sz w:val="24"/>
          <w:szCs w:val="24"/>
        </w:rPr>
        <w:t xml:space="preserve">) A </w:t>
      </w:r>
      <w:r>
        <w:rPr>
          <w:sz w:val="24"/>
          <w:szCs w:val="24"/>
        </w:rPr>
        <w:t>Lawn tablet</w:t>
      </w:r>
      <w:r>
        <w:rPr>
          <w:sz w:val="24"/>
          <w:szCs w:val="24"/>
        </w:rPr>
        <w:tab/>
      </w:r>
      <w:r>
        <w:rPr>
          <w:sz w:val="24"/>
          <w:szCs w:val="24"/>
        </w:rPr>
        <w:tab/>
      </w:r>
      <w:r>
        <w:rPr>
          <w:sz w:val="24"/>
          <w:szCs w:val="24"/>
        </w:rPr>
        <w:tab/>
      </w:r>
      <w:r>
        <w:rPr>
          <w:sz w:val="24"/>
          <w:szCs w:val="24"/>
        </w:rPr>
        <w:tab/>
      </w:r>
      <w:r w:rsidR="0037638B" w:rsidRPr="00DD6389">
        <w:rPr>
          <w:sz w:val="24"/>
          <w:szCs w:val="24"/>
        </w:rPr>
        <w:tab/>
      </w:r>
      <w:r w:rsidR="0037638B" w:rsidRPr="00DD6389">
        <w:rPr>
          <w:sz w:val="24"/>
          <w:szCs w:val="24"/>
        </w:rPr>
        <w:tab/>
      </w:r>
      <w:r w:rsidR="0037638B" w:rsidRPr="00DD6389">
        <w:rPr>
          <w:sz w:val="24"/>
          <w:szCs w:val="24"/>
        </w:rPr>
        <w:tab/>
      </w:r>
      <w:r w:rsidR="0037638B" w:rsidRPr="00DD6389">
        <w:rPr>
          <w:sz w:val="24"/>
          <w:szCs w:val="24"/>
        </w:rPr>
        <w:tab/>
      </w:r>
      <w:r w:rsidR="0037638B" w:rsidRPr="00DD6389">
        <w:rPr>
          <w:sz w:val="24"/>
          <w:szCs w:val="24"/>
        </w:rPr>
        <w:tab/>
        <w:t>£</w:t>
      </w:r>
      <w:r>
        <w:rPr>
          <w:sz w:val="24"/>
          <w:szCs w:val="24"/>
        </w:rPr>
        <w:t>50.00</w:t>
      </w:r>
    </w:p>
    <w:p w:rsidR="0037638B" w:rsidRDefault="0037638B" w:rsidP="00A61F76">
      <w:pPr>
        <w:spacing w:after="0"/>
        <w:jc w:val="both"/>
        <w:rPr>
          <w:sz w:val="24"/>
          <w:szCs w:val="24"/>
        </w:rPr>
      </w:pPr>
    </w:p>
    <w:p w:rsidR="0037638B" w:rsidRDefault="0037638B" w:rsidP="00A61F76">
      <w:pPr>
        <w:spacing w:after="0"/>
        <w:jc w:val="both"/>
        <w:rPr>
          <w:sz w:val="24"/>
          <w:szCs w:val="24"/>
        </w:rPr>
      </w:pPr>
      <w:r>
        <w:rPr>
          <w:sz w:val="24"/>
          <w:szCs w:val="24"/>
        </w:rPr>
        <w:t xml:space="preserve">For each inscription after the first an additional fee is payable </w:t>
      </w:r>
      <w:r>
        <w:rPr>
          <w:sz w:val="24"/>
          <w:szCs w:val="24"/>
        </w:rPr>
        <w:tab/>
      </w:r>
      <w:r>
        <w:rPr>
          <w:sz w:val="24"/>
          <w:szCs w:val="24"/>
        </w:rPr>
        <w:tab/>
      </w:r>
      <w:r>
        <w:rPr>
          <w:sz w:val="24"/>
          <w:szCs w:val="24"/>
        </w:rPr>
        <w:tab/>
        <w:t>£</w:t>
      </w:r>
      <w:r w:rsidR="00DD6389">
        <w:rPr>
          <w:sz w:val="24"/>
          <w:szCs w:val="24"/>
        </w:rPr>
        <w:t>20.00</w:t>
      </w:r>
    </w:p>
    <w:p w:rsidR="0037638B" w:rsidRDefault="0037638B" w:rsidP="00A61F76">
      <w:pPr>
        <w:spacing w:after="0"/>
        <w:jc w:val="both"/>
        <w:rPr>
          <w:sz w:val="24"/>
          <w:szCs w:val="24"/>
        </w:rPr>
      </w:pPr>
    </w:p>
    <w:p w:rsidR="0037638B" w:rsidRDefault="0037638B" w:rsidP="00A61F76">
      <w:pPr>
        <w:spacing w:after="0"/>
        <w:jc w:val="both"/>
        <w:rPr>
          <w:sz w:val="24"/>
          <w:szCs w:val="24"/>
        </w:rPr>
      </w:pPr>
    </w:p>
    <w:p w:rsidR="006566E4" w:rsidRDefault="0037638B" w:rsidP="00A61F76">
      <w:pPr>
        <w:spacing w:after="0"/>
        <w:jc w:val="both"/>
        <w:rPr>
          <w:sz w:val="24"/>
          <w:szCs w:val="24"/>
        </w:rPr>
      </w:pPr>
      <w:r>
        <w:rPr>
          <w:sz w:val="24"/>
          <w:szCs w:val="24"/>
        </w:rPr>
        <w:t>Southery Parish Council burial fees were reviewed on</w:t>
      </w:r>
      <w:r w:rsidR="00EF0AB8">
        <w:rPr>
          <w:sz w:val="24"/>
          <w:szCs w:val="24"/>
        </w:rPr>
        <w:t xml:space="preserve">2 July 2018 </w:t>
      </w:r>
      <w:r>
        <w:rPr>
          <w:sz w:val="24"/>
          <w:szCs w:val="24"/>
        </w:rPr>
        <w:t>.</w:t>
      </w:r>
      <w:r w:rsidR="006566E4">
        <w:rPr>
          <w:sz w:val="24"/>
          <w:szCs w:val="24"/>
        </w:rPr>
        <w:t xml:space="preserve">  </w:t>
      </w:r>
    </w:p>
    <w:p w:rsidR="0037638B" w:rsidRDefault="006566E4" w:rsidP="00A61F76">
      <w:pPr>
        <w:spacing w:after="0"/>
        <w:jc w:val="both"/>
        <w:rPr>
          <w:sz w:val="24"/>
          <w:szCs w:val="24"/>
        </w:rPr>
      </w:pPr>
      <w:r>
        <w:rPr>
          <w:sz w:val="24"/>
          <w:szCs w:val="24"/>
        </w:rPr>
        <w:t>Next Review July 2022.</w:t>
      </w:r>
    </w:p>
    <w:p w:rsidR="00A61F76" w:rsidRPr="00A61F76" w:rsidRDefault="00A61F76" w:rsidP="00A61F76">
      <w:pPr>
        <w:spacing w:after="0"/>
        <w:jc w:val="both"/>
        <w:rPr>
          <w:sz w:val="24"/>
          <w:szCs w:val="24"/>
        </w:rPr>
      </w:pPr>
    </w:p>
    <w:p w:rsidR="00A61F76" w:rsidRPr="00A61F76" w:rsidRDefault="00A61F76" w:rsidP="008F4856">
      <w:pPr>
        <w:jc w:val="both"/>
        <w:rPr>
          <w:b/>
          <w:sz w:val="28"/>
          <w:szCs w:val="28"/>
        </w:rPr>
      </w:pPr>
    </w:p>
    <w:p w:rsidR="008F4856" w:rsidRPr="00B00D16" w:rsidRDefault="008F4856" w:rsidP="00986A72">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B00D16" w:rsidRPr="00B00D16" w:rsidRDefault="00B00D16" w:rsidP="00986A72">
      <w:pPr>
        <w:jc w:val="both"/>
        <w:rPr>
          <w:sz w:val="24"/>
          <w:szCs w:val="24"/>
        </w:rPr>
      </w:pPr>
    </w:p>
    <w:sectPr w:rsidR="00B00D16" w:rsidRPr="00B00D16" w:rsidSect="005E49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A7668"/>
    <w:multiLevelType w:val="hybridMultilevel"/>
    <w:tmpl w:val="1F820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FF7C83"/>
    <w:multiLevelType w:val="hybridMultilevel"/>
    <w:tmpl w:val="2D3838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AD731F"/>
    <w:multiLevelType w:val="hybridMultilevel"/>
    <w:tmpl w:val="B986DBD2"/>
    <w:lvl w:ilvl="0" w:tplc="9E0A54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40099C"/>
    <w:rsid w:val="000957B5"/>
    <w:rsid w:val="000F3912"/>
    <w:rsid w:val="001444D4"/>
    <w:rsid w:val="001566CF"/>
    <w:rsid w:val="001E54F7"/>
    <w:rsid w:val="002036BC"/>
    <w:rsid w:val="002229F2"/>
    <w:rsid w:val="002670B5"/>
    <w:rsid w:val="0028165B"/>
    <w:rsid w:val="002975EF"/>
    <w:rsid w:val="00301652"/>
    <w:rsid w:val="00311FFF"/>
    <w:rsid w:val="0037638B"/>
    <w:rsid w:val="0039549C"/>
    <w:rsid w:val="003B54D2"/>
    <w:rsid w:val="003D5820"/>
    <w:rsid w:val="003E1900"/>
    <w:rsid w:val="0040099C"/>
    <w:rsid w:val="00410BCC"/>
    <w:rsid w:val="00414D1F"/>
    <w:rsid w:val="00424ABD"/>
    <w:rsid w:val="00456FE4"/>
    <w:rsid w:val="004F58D9"/>
    <w:rsid w:val="00534C9A"/>
    <w:rsid w:val="00547C50"/>
    <w:rsid w:val="0056404E"/>
    <w:rsid w:val="005769C7"/>
    <w:rsid w:val="00592BB8"/>
    <w:rsid w:val="005A181B"/>
    <w:rsid w:val="005D4D2A"/>
    <w:rsid w:val="005E497B"/>
    <w:rsid w:val="0060726A"/>
    <w:rsid w:val="00631EF8"/>
    <w:rsid w:val="0065486B"/>
    <w:rsid w:val="006566E4"/>
    <w:rsid w:val="006F0901"/>
    <w:rsid w:val="006F1F77"/>
    <w:rsid w:val="00720086"/>
    <w:rsid w:val="0075496D"/>
    <w:rsid w:val="00763AC6"/>
    <w:rsid w:val="007868E2"/>
    <w:rsid w:val="007A2E6D"/>
    <w:rsid w:val="007A6A95"/>
    <w:rsid w:val="007D1057"/>
    <w:rsid w:val="00821D62"/>
    <w:rsid w:val="008E4B5E"/>
    <w:rsid w:val="008F4856"/>
    <w:rsid w:val="009177EF"/>
    <w:rsid w:val="009415A1"/>
    <w:rsid w:val="0098455B"/>
    <w:rsid w:val="00986A72"/>
    <w:rsid w:val="009B1406"/>
    <w:rsid w:val="00A020F8"/>
    <w:rsid w:val="00A61F76"/>
    <w:rsid w:val="00A75820"/>
    <w:rsid w:val="00A8338D"/>
    <w:rsid w:val="00A931CA"/>
    <w:rsid w:val="00AB4717"/>
    <w:rsid w:val="00B00D16"/>
    <w:rsid w:val="00B40BD4"/>
    <w:rsid w:val="00B55D27"/>
    <w:rsid w:val="00B84077"/>
    <w:rsid w:val="00BF3EE8"/>
    <w:rsid w:val="00CC3D40"/>
    <w:rsid w:val="00CD7AB5"/>
    <w:rsid w:val="00CF7053"/>
    <w:rsid w:val="00D35FF0"/>
    <w:rsid w:val="00D57EFE"/>
    <w:rsid w:val="00D632C2"/>
    <w:rsid w:val="00D825F4"/>
    <w:rsid w:val="00DD6389"/>
    <w:rsid w:val="00E63360"/>
    <w:rsid w:val="00EC5765"/>
    <w:rsid w:val="00EE21B2"/>
    <w:rsid w:val="00EF0AB8"/>
    <w:rsid w:val="00F1416C"/>
    <w:rsid w:val="00F97320"/>
    <w:rsid w:val="00FA3847"/>
    <w:rsid w:val="00FC0120"/>
    <w:rsid w:val="00FD44B5"/>
    <w:rsid w:val="00FD571A"/>
    <w:rsid w:val="00FF1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2014-05-22T08:09:00Z</cp:lastPrinted>
  <dcterms:created xsi:type="dcterms:W3CDTF">2014-05-22T08:19:00Z</dcterms:created>
  <dcterms:modified xsi:type="dcterms:W3CDTF">2018-07-09T21:19:00Z</dcterms:modified>
</cp:coreProperties>
</file>